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  <w:t>附件1</w:t>
      </w:r>
    </w:p>
    <w:p>
      <w:pPr>
        <w:pStyle w:val="4"/>
        <w:spacing w:line="240" w:lineRule="exact"/>
        <w:ind w:firstLine="0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bidi="ar"/>
        </w:rPr>
      </w:pPr>
    </w:p>
    <w:p>
      <w:pPr>
        <w:spacing w:line="560" w:lineRule="exact"/>
        <w:ind w:firstLine="720" w:firstLineChars="200"/>
        <w:jc w:val="left"/>
        <w:rPr>
          <w:rFonts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</w:pPr>
      <w:bookmarkStart w:id="0" w:name="_GoBack"/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广东省高等教育学会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6"/>
          <w:szCs w:val="36"/>
          <w:lang w:eastAsia="zh-CN" w:bidi="ar"/>
        </w:rPr>
        <w:t>“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十四五</w:t>
      </w:r>
      <w:r>
        <w:rPr>
          <w:rFonts w:hint="eastAsia" w:ascii="仿宋_GB2312" w:hAnsi="Times New Roman" w:eastAsia="仿宋_GB2312" w:cs="Times New Roman"/>
          <w:bCs/>
          <w:color w:val="000000"/>
          <w:kern w:val="0"/>
          <w:sz w:val="36"/>
          <w:szCs w:val="36"/>
          <w:lang w:eastAsia="zh-CN" w:bidi="ar"/>
        </w:rPr>
        <w:t>”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规划202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val="en-US" w:eastAsia="zh-CN" w:bidi="ar"/>
        </w:rPr>
        <w:t>3</w:t>
      </w: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年度</w:t>
      </w:r>
    </w:p>
    <w:p>
      <w:pPr>
        <w:spacing w:line="560" w:lineRule="exact"/>
        <w:jc w:val="center"/>
        <w:rPr>
          <w:rFonts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简体" w:hAnsi="黑体" w:eastAsia="方正小标宋简体" w:cs="黑体"/>
          <w:bCs/>
          <w:color w:val="000000"/>
          <w:kern w:val="0"/>
          <w:sz w:val="36"/>
          <w:szCs w:val="36"/>
          <w:lang w:bidi="ar"/>
        </w:rPr>
        <w:t>高等教育研究课题指南</w:t>
      </w:r>
    </w:p>
    <w:bookmarkEnd w:id="0"/>
    <w:p>
      <w:pPr>
        <w:spacing w:line="240" w:lineRule="exact"/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ind w:firstLine="640" w:firstLineChars="200"/>
        <w:rPr>
          <w:rFonts w:hint="default" w:ascii="方正小标宋简体" w:hAnsi="黑体" w:eastAsia="方正小标宋简体" w:cs="黑体"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一、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党的二十大教育部署解读</w:t>
      </w:r>
      <w:r>
        <w:rPr>
          <w:rFonts w:hint="default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研究</w:t>
      </w:r>
      <w:r>
        <w:rPr>
          <w:rFonts w:hint="eastAsia" w:ascii="Times New Roman" w:hAnsi="Times New Roman" w:eastAsia="黑体" w:cs="Times New Roman"/>
          <w:bCs/>
          <w:kern w:val="2"/>
          <w:sz w:val="32"/>
          <w:szCs w:val="32"/>
          <w:lang w:val="en-US" w:eastAsia="zh-CN" w:bidi="ar"/>
        </w:rPr>
        <w:t>专项</w:t>
      </w:r>
    </w:p>
    <w:p>
      <w:pPr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hAnsiTheme="minorHAnsi" w:cstheme="minorBidi"/>
          <w:bCs w:val="0"/>
          <w:sz w:val="32"/>
          <w:szCs w:val="32"/>
          <w:lang w:val="en-US" w:eastAsia="zh-CN"/>
        </w:rPr>
        <w:t>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中国式高等教育现代化研究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（二）深化高等教育领域综合改革研究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（三）加强基础学科、新兴学科、交叉学科建设路径研究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（四）基础学科拔尖创新人才培养模式研究</w:t>
      </w:r>
    </w:p>
    <w:p>
      <w:pPr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（五）全面提高人才自主培养质量研究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highlight w:val="none"/>
          <w:lang w:val="en-US" w:eastAsia="zh-CN"/>
        </w:rPr>
        <w:t>（六）统筹职业教育、高等教育、继续教育协同创新研究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（七）推进职普融通、产教融合、科教融汇的实践策略研究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（八）优化职业教育类型定位研究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（九）加快建设中国特色、世界一流的大学和优势学科策略研究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（十）优化国家科研机构、高水平研究型大学、科技领军企业定位和布局研究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（十一）加快建设世界重要人才中心、创新高地与促进人才区域合理布局、协调发展研究</w:t>
      </w:r>
    </w:p>
    <w:p>
      <w:pPr>
        <w:pStyle w:val="4"/>
        <w:numPr>
          <w:ilvl w:val="-1"/>
          <w:numId w:val="0"/>
        </w:num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"/>
        </w:rPr>
        <w:t>高等教育高质量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发展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"/>
        </w:rPr>
        <w:t>研究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专项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default" w:ascii="仿宋_GB2312" w:eastAsia="仿宋_GB2312" w:cstheme="minorBidi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theme="minorBidi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十二</w:t>
      </w:r>
      <w:r>
        <w:rPr>
          <w:rFonts w:hint="eastAsia" w:ascii="仿宋_GB2312" w:eastAsia="仿宋_GB2312" w:cstheme="minorBidi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普及化时代高等教育分类发展研究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（十三）广东高等教育高质量发展标准研究</w:t>
      </w:r>
    </w:p>
    <w:p>
      <w:pPr>
        <w:pStyle w:val="4"/>
        <w:spacing w:line="560" w:lineRule="exact"/>
        <w:ind w:firstLine="640" w:firstLineChars="200"/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（十四）广东高水平大学群体建设路径研究</w:t>
      </w:r>
    </w:p>
    <w:p>
      <w:pPr>
        <w:pStyle w:val="4"/>
        <w:spacing w:line="560" w:lineRule="exact"/>
        <w:ind w:firstLine="640" w:firstLineChars="200"/>
        <w:rPr>
          <w:rFonts w:hint="default" w:ascii="仿宋_GB2312" w:eastAsia="仿宋_GB2312" w:cstheme="minorBidi"/>
          <w:bCs w:val="0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（十五）新型高水平理工科大学建设的理论与实践研究</w:t>
      </w:r>
    </w:p>
    <w:p>
      <w:pPr>
        <w:pStyle w:val="4"/>
        <w:spacing w:line="56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（十六）高水平师范大学建设</w:t>
      </w:r>
      <w:r>
        <w:rPr>
          <w:rFonts w:hint="eastAsia" w:ascii="仿宋_GB2312" w:hAnsi="黑体" w:eastAsia="仿宋_GB2312"/>
          <w:sz w:val="32"/>
          <w:szCs w:val="32"/>
        </w:rPr>
        <w:t>路径研究</w:t>
      </w:r>
    </w:p>
    <w:p>
      <w:pPr>
        <w:pStyle w:val="4"/>
        <w:spacing w:line="560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（十七）新工科、新医科、新农科、新文科、新师范建设的广东模式研究</w:t>
      </w:r>
    </w:p>
    <w:p>
      <w:pPr>
        <w:pStyle w:val="4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十八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kern w:val="0"/>
          <w:sz w:val="32"/>
          <w:szCs w:val="32"/>
        </w:rPr>
        <w:t>广东本科专业建设质量提升路径研究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（十九）广东本科高校教学质量监测体系建设研究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（二十）广东研究生教育高质量发展路径研究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（二十一）广东新工科助力制造业当家建设路径研究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（二十二）高水平科技自立自强与广东高校基础研究、应用基础研究优势发挥研究</w:t>
      </w:r>
    </w:p>
    <w:p>
      <w:pPr>
        <w:numPr>
          <w:ilvl w:val="0"/>
          <w:numId w:val="0"/>
        </w:numPr>
        <w:adjustRightInd w:val="0"/>
        <w:snapToGrid w:val="0"/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（二十三）高等教育规划教材建设研究</w:t>
      </w:r>
    </w:p>
    <w:p>
      <w:pPr>
        <w:spacing w:line="560" w:lineRule="exact"/>
        <w:ind w:firstLine="640" w:firstLineChars="200"/>
        <w:rPr>
          <w:rFonts w:hint="eastAsia" w:ascii="仿宋_GB2312" w:eastAsia="黑体" w:hAnsiTheme="minorHAnsi" w:cstheme="minorBidi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三、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"/>
        </w:rPr>
        <w:t>职业教育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高质量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"/>
        </w:rPr>
        <w:t>发展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bidi="ar"/>
        </w:rPr>
        <w:t>研究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专项</w:t>
      </w:r>
    </w:p>
    <w:p>
      <w:pPr>
        <w:spacing w:line="560" w:lineRule="exact"/>
        <w:ind w:firstLine="640" w:firstLineChars="200"/>
        <w:rPr>
          <w:rFonts w:hint="eastAsia" w:ascii="仿宋_GB2312" w:eastAsia="仿宋_GB2312" w:cstheme="minorBidi"/>
          <w:bCs w:val="0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eastAsia="仿宋_GB2312" w:cstheme="minorBidi"/>
          <w:bCs w:val="0"/>
          <w:kern w:val="2"/>
          <w:sz w:val="32"/>
          <w:szCs w:val="32"/>
          <w:lang w:val="en-US" w:eastAsia="zh-CN" w:bidi="ar"/>
        </w:rPr>
        <w:t>（二十四）广东高等职业教育高质量发展策略研究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二十五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bidi="ar"/>
        </w:rPr>
        <w:t>高等职业教育专业设置管理与预警机制研究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  <w:r>
        <w:rPr>
          <w:rFonts w:hint="eastAsia" w:ascii="仿宋_GB2312" w:eastAsia="仿宋_GB2312" w:cstheme="minorBidi"/>
          <w:bCs w:val="0"/>
          <w:kern w:val="2"/>
          <w:sz w:val="32"/>
          <w:szCs w:val="32"/>
          <w:lang w:val="en-US" w:eastAsia="zh-CN" w:bidi="ar"/>
        </w:rPr>
        <w:t>（二十六）高等</w:t>
      </w:r>
      <w:r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val="en-US" w:eastAsia="zh-CN" w:bidi="ar"/>
        </w:rPr>
        <w:t>职</w:t>
      </w:r>
      <w:r>
        <w:rPr>
          <w:rFonts w:hint="eastAsia" w:ascii="仿宋_GB2312" w:eastAsia="仿宋_GB2312"/>
          <w:sz w:val="32"/>
          <w:szCs w:val="32"/>
          <w:lang w:bidi="ar"/>
        </w:rPr>
        <w:t>业教育招生模式改革研究</w:t>
      </w:r>
    </w:p>
    <w:p>
      <w:pPr>
        <w:spacing w:line="560" w:lineRule="exact"/>
        <w:ind w:firstLine="640" w:firstLineChars="20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二十七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高等</w:t>
      </w:r>
      <w:r>
        <w:rPr>
          <w:rFonts w:hint="eastAsia" w:ascii="仿宋_GB2312" w:eastAsia="仿宋_GB2312"/>
          <w:sz w:val="32"/>
          <w:szCs w:val="32"/>
          <w:lang w:bidi="ar"/>
        </w:rPr>
        <w:t>职业学校教师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专业发展</w:t>
      </w:r>
      <w:r>
        <w:rPr>
          <w:rFonts w:hint="eastAsia" w:ascii="仿宋_GB2312" w:eastAsia="仿宋_GB2312"/>
          <w:sz w:val="32"/>
          <w:szCs w:val="32"/>
          <w:lang w:bidi="ar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  <w:r>
        <w:rPr>
          <w:rFonts w:hint="eastAsia" w:ascii="仿宋_GB2312" w:eastAsia="仿宋_GB2312" w:cstheme="minorBidi"/>
          <w:bCs w:val="0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二十八</w:t>
      </w:r>
      <w:r>
        <w:rPr>
          <w:rFonts w:hint="eastAsia" w:ascii="仿宋_GB2312" w:eastAsia="仿宋_GB2312" w:cstheme="minorBidi"/>
          <w:bCs w:val="0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 w:cstheme="minorBidi"/>
          <w:bCs w:val="0"/>
          <w:sz w:val="32"/>
          <w:szCs w:val="32"/>
          <w:lang w:val="en-US" w:eastAsia="zh-CN" w:bidi="ar"/>
        </w:rPr>
        <w:t>高等</w:t>
      </w:r>
      <w:r>
        <w:rPr>
          <w:rFonts w:hint="eastAsia" w:ascii="仿宋_GB2312" w:eastAsia="仿宋_GB2312" w:hAnsiTheme="minorHAnsi" w:cstheme="minorBidi"/>
          <w:bCs w:val="0"/>
          <w:sz w:val="32"/>
          <w:szCs w:val="32"/>
          <w:lang w:bidi="ar"/>
        </w:rPr>
        <w:t>职业教育服务乡村振兴</w:t>
      </w:r>
      <w:r>
        <w:rPr>
          <w:rFonts w:hint="eastAsia" w:ascii="仿宋_GB2312" w:eastAsia="仿宋_GB2312" w:hAnsiTheme="minorHAnsi" w:cstheme="minorBidi"/>
          <w:bCs w:val="0"/>
          <w:sz w:val="32"/>
          <w:szCs w:val="32"/>
          <w:lang w:val="en-US" w:eastAsia="zh-CN" w:bidi="ar"/>
        </w:rPr>
        <w:t>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二十九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职业本科教育改革发展研究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三十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bidi="ar"/>
        </w:rPr>
        <w:t>职业教育制度执行监管机制研究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bCs w:val="0"/>
          <w:kern w:val="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三十一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bidi="ar"/>
        </w:rPr>
        <w:t>地方政府职业教育绩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效</w:t>
      </w:r>
      <w:r>
        <w:rPr>
          <w:rFonts w:hint="eastAsia" w:ascii="仿宋_GB2312" w:eastAsia="仿宋_GB2312"/>
          <w:sz w:val="32"/>
          <w:szCs w:val="32"/>
          <w:lang w:bidi="ar"/>
        </w:rPr>
        <w:t>评价指标体系研究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三十二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职普</w:t>
      </w:r>
      <w:r>
        <w:rPr>
          <w:rFonts w:hint="eastAsia" w:ascii="仿宋_GB2312" w:eastAsia="仿宋_GB2312"/>
          <w:sz w:val="32"/>
          <w:szCs w:val="32"/>
          <w:lang w:bidi="ar"/>
        </w:rPr>
        <w:t>有机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融通</w:t>
      </w:r>
      <w:r>
        <w:rPr>
          <w:rFonts w:hint="eastAsia" w:ascii="仿宋_GB2312" w:eastAsia="仿宋_GB2312"/>
          <w:sz w:val="32"/>
          <w:szCs w:val="32"/>
          <w:lang w:bidi="ar"/>
        </w:rPr>
        <w:t>的机制研究</w:t>
      </w:r>
    </w:p>
    <w:p>
      <w:pPr>
        <w:spacing w:line="560" w:lineRule="exact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 w:bidi="ar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三十三</w:t>
      </w:r>
      <w:r>
        <w:rPr>
          <w:rFonts w:hint="eastAsia" w:ascii="仿宋_GB2312" w:eastAsia="仿宋_GB2312"/>
          <w:sz w:val="32"/>
          <w:szCs w:val="32"/>
          <w:lang w:eastAsia="zh-CN" w:bidi="ar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 w:bidi="ar"/>
        </w:rPr>
        <w:t>职业教育规划教材建设研究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bCs w:val="0"/>
          <w:sz w:val="32"/>
          <w:szCs w:val="32"/>
          <w:lang w:val="en-US" w:bidi="ar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四、高等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bidi="ar"/>
        </w:rPr>
        <w:t>教育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 w:bidi="ar"/>
        </w:rPr>
        <w:t>数字化研究专项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（三十四）推进高等教育数字化策略研究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（三十五）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内涵与实现路径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（三十六）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高等教育数字化课程资源开发研究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三十七</w:t>
      </w:r>
      <w:r>
        <w:rPr>
          <w:rFonts w:hint="eastAsia" w:ascii="仿宋_GB2312" w:eastAsia="仿宋_GB2312" w:cstheme="minorBidi"/>
          <w:sz w:val="32"/>
          <w:szCs w:val="32"/>
          <w:lang w:eastAsia="zh-CN"/>
        </w:rPr>
        <w:t>）</w:t>
      </w:r>
      <w:r>
        <w:rPr>
          <w:rFonts w:hint="default" w:ascii="仿宋_GB2312" w:eastAsia="仿宋_GB2312" w:hAnsiTheme="minorHAnsi" w:cstheme="minorBidi"/>
          <w:sz w:val="32"/>
          <w:szCs w:val="32"/>
        </w:rPr>
        <w:t>惠及全民的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</w:t>
      </w:r>
      <w:r>
        <w:rPr>
          <w:rFonts w:hint="default" w:ascii="仿宋_GB2312" w:eastAsia="仿宋_GB2312" w:hAnsiTheme="minorHAnsi" w:cstheme="minorBidi"/>
          <w:sz w:val="32"/>
          <w:szCs w:val="32"/>
        </w:rPr>
        <w:t>支撑体系应用示范研究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三十八</w:t>
      </w:r>
      <w:r>
        <w:rPr>
          <w:rFonts w:hint="eastAsia" w:ascii="仿宋_GB2312" w:eastAsia="仿宋_GB2312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基于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数字化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的</w:t>
      </w:r>
      <w:r>
        <w:rPr>
          <w:rFonts w:hint="default" w:ascii="仿宋_GB2312" w:eastAsia="仿宋_GB2312" w:hAnsiTheme="minorHAnsi" w:cstheme="minorBidi"/>
          <w:sz w:val="32"/>
          <w:szCs w:val="32"/>
        </w:rPr>
        <w:t>区域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</w:t>
      </w:r>
      <w:r>
        <w:rPr>
          <w:rFonts w:hint="default" w:ascii="仿宋_GB2312" w:eastAsia="仿宋_GB2312" w:hAnsiTheme="minorHAnsi" w:cstheme="minorBidi"/>
          <w:sz w:val="32"/>
          <w:szCs w:val="32"/>
        </w:rPr>
        <w:t>教育资源公共服务模式研究</w:t>
      </w:r>
    </w:p>
    <w:p>
      <w:pPr>
        <w:adjustRightInd/>
        <w:snapToGrid/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（三十九）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高等教育数字化教学与</w:t>
      </w:r>
      <w:r>
        <w:rPr>
          <w:rFonts w:hint="default" w:ascii="仿宋_GB2312" w:eastAsia="仿宋_GB2312" w:hAnsiTheme="minorHAnsi" w:cstheme="minorBidi"/>
          <w:sz w:val="32"/>
          <w:szCs w:val="32"/>
        </w:rPr>
        <w:t>学习方式变革及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其</w:t>
      </w:r>
      <w:r>
        <w:rPr>
          <w:rFonts w:hint="default" w:ascii="仿宋_GB2312" w:eastAsia="仿宋_GB2312" w:hAnsiTheme="minorHAnsi" w:cstheme="minorBidi"/>
          <w:sz w:val="32"/>
          <w:szCs w:val="32"/>
        </w:rPr>
        <w:t>影响因素研究</w:t>
      </w:r>
    </w:p>
    <w:p>
      <w:pPr>
        <w:spacing w:line="560" w:lineRule="exact"/>
        <w:ind w:firstLine="640" w:firstLineChars="200"/>
        <w:rPr>
          <w:rFonts w:hint="default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（四十）</w:t>
      </w:r>
      <w:r>
        <w:rPr>
          <w:rFonts w:hint="default" w:ascii="仿宋_GB2312" w:eastAsia="仿宋_GB2312" w:hAnsiTheme="minorHAnsi" w:cstheme="minorBidi"/>
          <w:sz w:val="32"/>
          <w:szCs w:val="32"/>
          <w:lang w:val="en-US" w:eastAsia="zh-CN"/>
        </w:rPr>
        <w:t>高等教育数字化</w:t>
      </w:r>
      <w:r>
        <w:rPr>
          <w:rFonts w:hint="default" w:ascii="仿宋_GB2312" w:eastAsia="仿宋_GB2312" w:hAnsiTheme="minorHAnsi" w:cstheme="minorBidi"/>
          <w:sz w:val="32"/>
          <w:szCs w:val="32"/>
        </w:rPr>
        <w:t>促进继续教育创新与发展研究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（四十一）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高等教育数字化与终身学习认证体系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建设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  <w:lang w:eastAsia="zh-CN"/>
        </w:rPr>
        <w:t>（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四十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default" w:ascii="仿宋_GB2312" w:eastAsia="仿宋_GB2312"/>
          <w:sz w:val="32"/>
          <w:szCs w:val="32"/>
          <w:lang w:eastAsia="zh-CN"/>
        </w:rPr>
        <w:t>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高等教育数字化发展与</w:t>
      </w:r>
      <w:r>
        <w:rPr>
          <w:rFonts w:hint="default" w:ascii="仿宋_GB2312" w:eastAsia="仿宋_GB2312"/>
          <w:sz w:val="32"/>
          <w:szCs w:val="32"/>
        </w:rPr>
        <w:t>学术诚信问题研究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lang w:val="en-US" w:eastAsia="zh-CN"/>
        </w:rPr>
        <w:t>（四十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）高校人工智能与伦理教育的现状、挑战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和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对策研究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（四十四）数字化背景下</w:t>
      </w:r>
      <w:r>
        <w:rPr>
          <w:rFonts w:hint="eastAsia" w:ascii="仿宋_GB2312" w:eastAsia="仿宋_GB2312"/>
          <w:sz w:val="32"/>
          <w:szCs w:val="32"/>
        </w:rPr>
        <w:t>促进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大学生</w:t>
      </w:r>
      <w:r>
        <w:rPr>
          <w:rFonts w:hint="eastAsia" w:ascii="仿宋_GB2312" w:eastAsia="仿宋_GB2312"/>
          <w:sz w:val="32"/>
          <w:szCs w:val="32"/>
        </w:rPr>
        <w:t>健康成长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成才</w:t>
      </w:r>
      <w:r>
        <w:rPr>
          <w:rFonts w:hint="eastAsia" w:ascii="仿宋_GB2312" w:eastAsia="仿宋_GB2312"/>
          <w:sz w:val="32"/>
          <w:szCs w:val="32"/>
        </w:rPr>
        <w:t>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五、高校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德育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与宣传思想工作</w:t>
      </w:r>
      <w:r>
        <w:rPr>
          <w:rFonts w:hint="eastAsia" w:ascii="Times New Roman" w:hAnsi="Times New Roman" w:eastAsia="黑体" w:cs="Times New Roman"/>
          <w:bCs/>
          <w:sz w:val="32"/>
          <w:szCs w:val="32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（四十五）高校马克思主义理论课与</w:t>
      </w:r>
      <w:r>
        <w:rPr>
          <w:rFonts w:hint="eastAsia" w:ascii="仿宋_GB2312" w:eastAsia="仿宋_GB2312"/>
          <w:sz w:val="32"/>
          <w:szCs w:val="32"/>
        </w:rPr>
        <w:t>德育课程教学改革研究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四十六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时代精神与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道德教育改革研究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（四十七）大学生</w:t>
      </w:r>
      <w:r>
        <w:rPr>
          <w:rFonts w:hint="eastAsia" w:ascii="仿宋_GB2312" w:eastAsia="仿宋_GB2312"/>
          <w:sz w:val="32"/>
          <w:szCs w:val="32"/>
        </w:rPr>
        <w:t>生命教育研究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四十八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大学生社会责任感现状及其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提升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spacing w:line="560" w:lineRule="exact"/>
        <w:ind w:firstLine="640" w:firstLineChars="200"/>
        <w:rPr>
          <w:rFonts w:hint="default"/>
          <w:lang w:val="en-US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（四十九）推进大中小学思想政治教育一体化建设研究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（五十）高校</w:t>
      </w:r>
      <w:r>
        <w:rPr>
          <w:rFonts w:hint="eastAsia" w:ascii="仿宋_GB2312" w:eastAsia="仿宋_GB2312"/>
          <w:sz w:val="32"/>
          <w:szCs w:val="32"/>
        </w:rPr>
        <w:t>师德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师风</w:t>
      </w:r>
      <w:r>
        <w:rPr>
          <w:rFonts w:hint="eastAsia" w:ascii="仿宋_GB2312" w:eastAsia="仿宋_GB2312"/>
          <w:sz w:val="32"/>
          <w:szCs w:val="32"/>
        </w:rPr>
        <w:t>建设与考核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机制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五十一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高校学风建设与学术规范教育研究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五十二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高校意识形态工作与高校改革发展稳定研究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（五十三）加强高校全媒体传播体系建设研究</w:t>
      </w:r>
    </w:p>
    <w:p>
      <w:pPr>
        <w:spacing w:line="560" w:lineRule="exact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（五十四）塑造高校主流舆论新格局与加强国际传播能力建设研究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六、高校教师教学发展研究专项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）深化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</w:rPr>
        <w:t>教师教学发展中心运作机制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改革研究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教师教学发展中心专业化建设路径研究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院系教师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教学</w:t>
      </w:r>
      <w:r>
        <w:rPr>
          <w:rFonts w:hint="eastAsia" w:ascii="仿宋_GB2312" w:eastAsia="仿宋_GB2312"/>
          <w:sz w:val="32"/>
          <w:szCs w:val="32"/>
        </w:rPr>
        <w:t>发展分中心的组织运行研究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教师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教学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发展中心工作人员胜任力研究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五十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九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数字化转型背景下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教师教学发展研究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六十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新教师教学发展方案制定研究</w:t>
      </w:r>
    </w:p>
    <w:p>
      <w:pPr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）高校教师教学发展方案分级课程开发与设计研究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高校教师</w:t>
      </w:r>
      <w:r>
        <w:rPr>
          <w:rFonts w:hint="eastAsia" w:ascii="仿宋_GB2312" w:eastAsia="仿宋_GB2312"/>
          <w:sz w:val="32"/>
          <w:szCs w:val="32"/>
        </w:rPr>
        <w:t>教学培训与课堂变革一体化研究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混合式教学培训的理论与实践研究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cstheme="minorBidi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val="en-US" w:eastAsia="zh-CN"/>
        </w:rPr>
        <w:t>十</w:t>
      </w:r>
      <w:r>
        <w:rPr>
          <w:rFonts w:hint="eastAsia" w:ascii="仿宋_GB2312" w:eastAsia="仿宋_GB2312" w:cstheme="minorBidi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eastAsia="仿宋_GB2312" w:hAnsiTheme="minorHAnsi" w:cstheme="minorBidi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b w:val="0"/>
          <w:bCs w:val="0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教师教学学术能力发展态势和机制构建研究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 w:hAnsiTheme="minorHAnsi" w:cstheme="minorBidi"/>
          <w:b w:val="0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  <w:lang w:val="en-US" w:eastAsia="zh-CN"/>
        </w:rPr>
        <w:t>六十</w:t>
      </w:r>
      <w:r>
        <w:rPr>
          <w:rFonts w:hint="eastAsia" w:ascii="仿宋_GB2312" w:eastAsia="仿宋_GB2312" w:cstheme="minorBidi"/>
          <w:b w:val="0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b w:val="0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b w:val="0"/>
          <w:sz w:val="32"/>
          <w:szCs w:val="32"/>
        </w:rPr>
        <w:t>教师教学发展全周期培养制度</w:t>
      </w:r>
      <w:r>
        <w:rPr>
          <w:rFonts w:hint="eastAsia" w:ascii="仿宋_GB2312" w:eastAsia="仿宋_GB2312" w:cstheme="minorBidi"/>
          <w:b w:val="0"/>
          <w:sz w:val="32"/>
          <w:szCs w:val="32"/>
          <w:lang w:val="en-US" w:eastAsia="zh-CN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（六十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六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教师教学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发展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共同体建设策略研究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六十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七</w:t>
      </w:r>
      <w:r>
        <w:rPr>
          <w:rFonts w:hint="eastAsia" w:ascii="仿宋_GB2312" w:eastAsia="仿宋_GB2312" w:hAnsiTheme="minorHAnsi" w:cstheme="minorBidi"/>
          <w:sz w:val="32"/>
          <w:szCs w:val="32"/>
          <w:lang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新工科、新医科、新农科、新文科、新师范</w:t>
      </w:r>
      <w:r>
        <w:rPr>
          <w:rFonts w:hint="eastAsia" w:ascii="仿宋_GB2312" w:eastAsia="仿宋_GB2312"/>
          <w:sz w:val="32"/>
          <w:szCs w:val="32"/>
        </w:rPr>
        <w:t>建设背景下的虚拟教研（虚拟教研室）体制机制建设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（六十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八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）</w:t>
      </w:r>
      <w:r>
        <w:rPr>
          <w:rFonts w:hint="eastAsia" w:ascii="仿宋_GB2312" w:eastAsia="仿宋_GB2312" w:cstheme="minorBidi"/>
          <w:sz w:val="32"/>
          <w:szCs w:val="32"/>
          <w:lang w:val="en-US" w:eastAsia="zh-CN"/>
        </w:rPr>
        <w:t>高校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教师专业发展档案</w:t>
      </w:r>
      <w:r>
        <w:rPr>
          <w:rFonts w:hint="eastAsia" w:ascii="仿宋_GB2312" w:eastAsia="仿宋_GB2312" w:hAnsiTheme="minorHAnsi" w:cstheme="minorBidi"/>
          <w:sz w:val="32"/>
          <w:szCs w:val="32"/>
          <w:lang w:val="en-US" w:eastAsia="zh-CN"/>
        </w:rPr>
        <w:t>建设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研究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979DF5F-2519-4B99-83B4-97871017849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7BDC19-2755-4F8E-B66B-30412F4477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FF64CAF-1264-4733-B21A-15C437C8F06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F824DE7-4A80-43C4-A40D-1B4C6376945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21E4901C-6F01-4831-8ACA-2FA059E3B9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NjhkNTQ5ZDExZmFiYmE3YWFlZDlmNjc3MGI1NTMifQ=="/>
  </w:docVars>
  <w:rsids>
    <w:rsidRoot w:val="403730A4"/>
    <w:rsid w:val="0A4818BD"/>
    <w:rsid w:val="0C3500E6"/>
    <w:rsid w:val="0CC70034"/>
    <w:rsid w:val="14075883"/>
    <w:rsid w:val="1A123B3E"/>
    <w:rsid w:val="1E9239B5"/>
    <w:rsid w:val="1ECB5413"/>
    <w:rsid w:val="1F102085"/>
    <w:rsid w:val="21894680"/>
    <w:rsid w:val="22273EAA"/>
    <w:rsid w:val="28EC7A64"/>
    <w:rsid w:val="293F26C2"/>
    <w:rsid w:val="2E552681"/>
    <w:rsid w:val="348959B5"/>
    <w:rsid w:val="36126160"/>
    <w:rsid w:val="395530D2"/>
    <w:rsid w:val="403730A4"/>
    <w:rsid w:val="4BA05CA5"/>
    <w:rsid w:val="523D0E4F"/>
    <w:rsid w:val="58955BAA"/>
    <w:rsid w:val="600B5EC6"/>
    <w:rsid w:val="67254AFE"/>
    <w:rsid w:val="68121B6F"/>
    <w:rsid w:val="6CFA4E75"/>
    <w:rsid w:val="70EF23D7"/>
    <w:rsid w:val="7836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eastAsia="黑体" w:cs="Times New Roman"/>
      <w:bCs/>
      <w:kern w:val="44"/>
      <w:sz w:val="32"/>
      <w:szCs w:val="48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spacing w:line="440" w:lineRule="exact"/>
      <w:ind w:firstLine="720" w:firstLineChars="200"/>
      <w:outlineLvl w:val="1"/>
    </w:pPr>
    <w:rPr>
      <w:rFonts w:hint="eastAsia" w:ascii="宋体" w:hAnsi="宋体" w:eastAsia="仿宋" w:cs="Times New Roman"/>
      <w:bCs/>
      <w:kern w:val="0"/>
      <w:sz w:val="26"/>
      <w:szCs w:val="36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/>
    </w:pPr>
  </w:style>
  <w:style w:type="character" w:customStyle="1" w:styleId="7">
    <w:name w:val="标题 2 字符"/>
    <w:basedOn w:val="6"/>
    <w:link w:val="3"/>
    <w:uiPriority w:val="9"/>
    <w:rPr>
      <w:rFonts w:ascii="Arial" w:hAnsi="Arial" w:eastAsia="仿宋" w:cs="Times New Roman"/>
      <w:kern w:val="2"/>
      <w:sz w:val="26"/>
      <w:szCs w:val="22"/>
      <w:lang w:val="zh-CN" w:eastAsia="zh-CN" w:bidi="zh-CN"/>
    </w:rPr>
  </w:style>
  <w:style w:type="character" w:customStyle="1" w:styleId="8">
    <w:name w:val="标题 1 字符"/>
    <w:link w:val="2"/>
    <w:qFormat/>
    <w:uiPriority w:val="0"/>
    <w:rPr>
      <w:rFonts w:hint="eastAsia" w:ascii="宋体" w:hAnsi="宋体" w:eastAsia="黑体" w:cs="Times New Roman"/>
      <w:bCs/>
      <w:kern w:val="44"/>
      <w:sz w:val="32"/>
      <w:szCs w:val="48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2023-04-20T06:20:00Z</dcterms:created>
  <dc:creator> 海欣仔 </dc:creator>
  <cp:lastModifiedBy> 海欣仔 </cp:lastModifiedBy>
  <dcterms:modified xsi:type="dcterms:W3CDTF">2023-04-20T06:21:24Z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11308653373C4F7C8D3235C70E7A6709_11</vt:lpwstr>
  </property>
</Properties>
</file>